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body>
    <w:p>
      <w:pPr>
        <w:rPr>
          <w:rFonts w:hint="eastAsia"/>
        </w:rPr>
      </w:pPr>
      <w:r>
        <w:rPr>
          <w:rFonts w:hint="eastAsia"/>
          <w:lang w:val="en-US" w:eastAsia="zh-CN"/>
        </w:rPr>
        <mc:AlternateContent>
          <mc:Choice Requires="wps">
            <w:drawing>
              <wp:anchor distT="0" distB="0" distL="114300" distR="114300" simplePos="0" relativeHeight="12" behindDoc="0" locked="0" layoutInCell="1" hidden="0" allowOverlap="1">
                <wp:simplePos x="0" y="0"/>
                <wp:positionH relativeFrom="column">
                  <wp:posOffset>0</wp:posOffset>
                </wp:positionH>
                <wp:positionV relativeFrom="paragraph">
                  <wp:posOffset>-316225</wp:posOffset>
                </wp:positionV>
                <wp:extent cx="2267982" cy="864018"/>
                <wp:effectExtent l="0" t="0" r="0" b="0"/>
                <wp:wrapNone/>
                <wp:docPr id="1" name="矩形 1"/>
                <wp:cNvGraphicFramePr>
                  <a:graphicFrameLocks noChangeAspect="0"/>
                </wp:cNvGraphicFramePr>
                <a:graphic>
                  <a:graphicData uri="http://schemas.microsoft.com/office/word/2010/wordprocessingShape">
                    <wps:wsp>
                      <wps:cNvSpPr/>
                      <wps:spPr>
                        <a:xfrm rot="0">
                          <a:off x="0" y="0"/>
                          <a:ext cx="2267982" cy="864018"/>
                        </a:xfrm>
                        <a:prstGeom prst="rect"/>
                        <a:solidFill>
                          <a:srgbClr val="FFFFFF"/>
                        </a:solidFill>
                        <a:ln w="9525" cmpd="sng">
                          <a:solidFill>
                            <a:srgbClr val="000000"/>
                          </a:solidFill>
                          <a:prstDash val="solid"/>
                          <a:miter/>
                        </a:ln>
                      </wps:spPr>
                      <wps:txbx id="2">
                        <w:txbxContent>
                          <w:p>
                            <w:pPr>
                              <w:spacing w:beforeLines="50" w:before="289" w:line="360" w:lineRule="exact"/>
                              <w:jc w:val="center"/>
                              <w:rPr>
                                <w:rFonts w:ascii="宋体" w:eastAsia="宋体"/>
                                <w:sz w:val="24"/>
                              </w:rPr>
                            </w:pPr>
                            <w:r>
                              <w:rPr>
                                <w:rFonts w:ascii="宋体" w:eastAsia="宋体"/>
                                <w:sz w:val="24"/>
                              </w:rPr>
                              <w:t>遂宁市市级行政规范性文件</w:t>
                            </w:r>
                          </w:p>
                          <w:p>
                            <w:pPr>
                              <w:spacing w:line="360" w:lineRule="exact"/>
                              <w:jc w:val="center"/>
                              <w:rPr>
                                <w:rFonts w:ascii="宋体" w:eastAsia="宋体"/>
                                <w:sz w:val="24"/>
                              </w:rPr>
                            </w:pPr>
                            <w:r>
                              <w:rPr>
                                <w:rFonts w:ascii="宋体" w:eastAsia="宋体"/>
                                <w:sz w:val="24"/>
                              </w:rPr>
                              <w:t>统一编号：</w:t>
                            </w:r>
                            <w:r>
                              <w:rPr>
                                <w:rFonts w:ascii="宋体" w:eastAsia="宋体" w:hint="eastAsia"/>
                                <w:sz w:val="24"/>
                              </w:rPr>
                              <w:t>CCZJR—2017—0</w:t>
                            </w:r>
                            <w:r>
                              <w:rPr>
                                <w:rFonts w:ascii="宋体" w:eastAsia="宋体"/>
                                <w:sz w:val="24"/>
                              </w:rPr>
                              <w:t>57</w:t>
                            </w:r>
                          </w:p>
                        </w:txbxContent>
                      </wps:txbx>
                      <wps:bodyPr vert="horz" wrap="square" lIns="91440" tIns="45720" rIns="91440" bIns="45720" anchor="t" anchorCtr="0" upright="1">
                        <a:noAutofit/>
                      </wps:bodyPr>
                    </wps:wsp>
                  </a:graphicData>
                </a:graphic>
              </wp:anchor>
            </w:drawing>
          </mc:Choice>
          <mc:Fallback>
            <w:pict>
              <v:rect type="#_x0000_t1" id="矩形 3" o:spid="_x0000_s3" fillcolor="#FFFFFF" stroked="t" alt="" style="position:absolute;&#13;&#10;margin-left:0.0pt;&#13;&#10;margin-top:-24.89962pt;&#13;&#10;width:178.58128pt;&#13;&#10;height:68.03296pt;&#13;&#10;z-index:12;&#13;&#10;mso-position-horizontal:absolute;&#13;&#10;mso-position-vertical:absolute;&#13;&#10;mso-wrap-style:square;">
                <v:stroke color="000000"/>
                <v:textbox id="848" inset="2.54mm,1.27mm,2.54mm,1.27mm" o:insetmode="custom" style="layout-flow:horizontal;&#13;&#10;v-text-anchor:top;">
                  <w:txbxContent>
                    <w:p>
                      <w:pPr>
                        <w:spacing w:beforeLines="50" w:before="289" w:line="360" w:lineRule="exact"/>
                        <w:jc w:val="center"/>
                        <w:rPr>
                          <w:rFonts w:ascii="宋体" w:eastAsia="宋体"/>
                          <w:sz w:val="24"/>
                        </w:rPr>
                      </w:pPr>
                      <w:r>
                        <w:rPr>
                          <w:rFonts w:ascii="宋体" w:eastAsia="宋体"/>
                          <w:sz w:val="24"/>
                        </w:rPr>
                        <w:t>遂宁市市级行政规范性文件</w:t>
                      </w:r>
                    </w:p>
                    <w:p>
                      <w:pPr>
                        <w:spacing w:line="360" w:lineRule="exact"/>
                        <w:jc w:val="center"/>
                        <w:rPr>
                          <w:rFonts w:ascii="宋体" w:eastAsia="宋体"/>
                          <w:sz w:val="24"/>
                        </w:rPr>
                      </w:pPr>
                      <w:r>
                        <w:rPr>
                          <w:rFonts w:ascii="宋体" w:eastAsia="宋体"/>
                          <w:sz w:val="24"/>
                        </w:rPr>
                        <w:t>统一编号：</w:t>
                      </w:r>
                      <w:r>
                        <w:rPr>
                          <w:rFonts w:ascii="宋体" w:eastAsia="宋体" w:hint="eastAsia"/>
                          <w:sz w:val="24"/>
                        </w:rPr>
                        <w:t>CCZJR—2017—0</w:t>
                      </w:r>
                      <w:r>
                        <w:rPr>
                          <w:rFonts w:ascii="宋体" w:eastAsia="宋体"/>
                          <w:sz w:val="24"/>
                        </w:rPr>
                        <w:t>57</w:t>
                      </w:r>
                    </w:p>
                  </w:txbxContent>
                </v:textbox>
              </v:rect>
            </w:pict>
          </mc:Fallback>
        </mc:AlternateContent>
      </w:r>
    </w:p>
    <w:p>
      <w:pP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spacing w:line="800" w:lineRule="exact"/>
        <w:jc w:val="center"/>
        <w:rPr>
          <w:rFonts w:hint="eastAsia"/>
        </w:rPr>
      </w:pPr>
    </w:p>
    <w:p>
      <w:pPr>
        <w:jc w:val="center"/>
      </w:pPr>
      <w:r>
        <w:t>遂财预〔2017〕39号</w:t>
      </w:r>
    </w:p>
    <w:p/>
    <w:p/>
    <w:p>
      <w:pPr>
        <w:spacing w:line="800" w:lineRule="exact"/>
        <w:jc w:val="center"/>
        <w:rPr>
          <w:rFonts w:eastAsia="方正小标宋简体"/>
          <w:sz w:val="44"/>
          <w:szCs w:val="44"/>
        </w:rPr>
      </w:pPr>
      <w:r>
        <w:rPr>
          <w:rFonts w:eastAsia="方正小标宋简体" w:hint="eastAsia"/>
          <w:sz w:val="44"/>
          <w:szCs w:val="44"/>
        </w:rPr>
        <w:t>遂宁市财政局关于印发《遂宁市农业转移人口市民化奖励资金管理办法》的通知</w:t>
      </w:r>
    </w:p>
    <w:p>
      <w:pPr>
        <w:spacing w:line="800" w:lineRule="exact"/>
      </w:pPr>
    </w:p>
    <w:p>
      <w:pPr>
        <w:spacing w:line="700" w:lineRule="exact"/>
      </w:pPr>
      <w:r>
        <w:rPr>
          <w:rFonts w:hint="eastAsia"/>
        </w:rPr>
        <w:t>各县（区）、园区财政局：</w:t>
      </w:r>
    </w:p>
    <w:p>
      <w:pPr>
        <w:spacing w:line="700" w:lineRule="exact"/>
        <w:ind w:firstLineChars="200" w:firstLine="631"/>
      </w:pPr>
      <w:r>
        <w:rPr>
          <w:rFonts w:hint="eastAsia"/>
        </w:rPr>
        <w:t>根据《四川省人民政府关于实施支持农业转移人口市民化若干财政政策的通知》（川府发〔</w:t>
      </w:r>
      <w:r>
        <w:t>2016</w:t>
      </w:r>
      <w:r>
        <w:rPr>
          <w:rFonts w:hint="eastAsia"/>
        </w:rPr>
        <w:t>〕</w:t>
      </w:r>
      <w:r>
        <w:t>65</w:t>
      </w:r>
      <w:r>
        <w:rPr>
          <w:rFonts w:hint="eastAsia"/>
        </w:rPr>
        <w:t>号）和市政府支持农业转移人口市民化若干财政政策的相关要求，市财政局研究制定了《遂宁市农业转移人口市民化奖励资金管理办法》。现予以印发，请遵照执行。</w:t>
      </w:r>
    </w:p>
    <w:p>
      <w:pPr>
        <w:ind w:firstLineChars="200" w:firstLine="631"/>
      </w:pPr>
    </w:p>
    <w:p>
      <w:pPr>
        <w:ind w:firstLineChars="200" w:firstLine="631"/>
      </w:pPr>
    </w:p>
    <w:p>
      <w:pPr>
        <w:ind w:firstLineChars="200" w:firstLine="631"/>
      </w:pPr>
    </w:p>
    <w:p>
      <w:pPr>
        <w:ind w:firstLineChars="1211" w:firstLine="3824"/>
        <w:jc w:val="center"/>
      </w:pPr>
      <w:r>
        <w:rPr>
          <w:rFonts w:hint="eastAsia"/>
        </w:rPr>
        <w:t>遂宁市财政局</w:t>
      </w:r>
    </w:p>
    <w:p>
      <w:pPr>
        <w:ind w:firstLineChars="1211" w:firstLine="3824"/>
        <w:jc w:val="center"/>
      </w:pPr>
      <w:r>
        <w:t>2017</w:t>
      </w:r>
      <w:r>
        <w:rPr>
          <w:rFonts w:hint="eastAsia"/>
        </w:rPr>
        <w:t>年</w:t>
      </w:r>
      <w:r>
        <w:t>9</w:t>
      </w:r>
      <w:r>
        <w:rPr>
          <w:rFonts w:hint="eastAsia"/>
        </w:rPr>
        <w:t>月</w:t>
      </w:r>
      <w:r>
        <w:t>8</w:t>
      </w:r>
      <w:r>
        <w:rPr>
          <w:rFonts w:hint="eastAsia"/>
        </w:rPr>
        <w:t>日</w:t>
      </w:r>
    </w:p>
    <w:p>
      <w:pPr>
        <w:ind w:firstLineChars="200" w:firstLine="631"/>
      </w:pPr>
    </w:p>
    <w:p>
      <w:pPr>
        <w:widowControl/>
        <w:ind w:firstLineChars="200" w:firstLine="631"/>
        <w:jc w:val="left"/>
      </w:pPr>
      <w:r>
        <w:br w:type="page"/>
      </w:r>
    </w:p>
    <w:p>
      <w:pPr>
        <w:jc w:val="center"/>
        <w:rPr>
          <w:rFonts w:eastAsia="方正小标宋简体"/>
          <w:sz w:val="44"/>
          <w:szCs w:val="44"/>
        </w:rPr>
      </w:pPr>
      <w:r>
        <w:rPr>
          <w:rFonts w:eastAsia="方正小标宋简体" w:hint="eastAsia"/>
          <w:sz w:val="44"/>
          <w:szCs w:val="44"/>
        </w:rPr>
        <w:t>遂宁市农业转移人口市民化奖励资金管理办法</w:t>
      </w:r>
    </w:p>
    <w:p>
      <w:pPr>
        <w:ind w:firstLineChars="200" w:firstLine="631"/>
      </w:pPr>
    </w:p>
    <w:p>
      <w:pPr>
        <w:ind w:firstLineChars="200" w:firstLine="623"/>
        <w:rPr>
          <w:color w:val="000000"/>
          <w:shd w:val="clear" w:color="auto" w:fill="FFFFFF"/>
        </w:rPr>
      </w:pPr>
      <w:r>
        <w:rPr>
          <w:rFonts w:hint="eastAsia"/>
          <w:spacing w:val="-2"/>
        </w:rPr>
        <w:t>按照《国务院关于实施支持农业转移人口市民化若干财政政策的通知》（国发〔</w:t>
      </w:r>
      <w:r>
        <w:rPr>
          <w:spacing w:val="-2"/>
        </w:rPr>
        <w:t>2016</w:t>
      </w:r>
      <w:r>
        <w:rPr>
          <w:rFonts w:hint="eastAsia"/>
          <w:spacing w:val="-2"/>
        </w:rPr>
        <w:t>〕</w:t>
      </w:r>
      <w:r>
        <w:rPr>
          <w:spacing w:val="-2"/>
        </w:rPr>
        <w:t>44</w:t>
      </w:r>
      <w:r>
        <w:rPr>
          <w:rFonts w:hint="eastAsia"/>
          <w:spacing w:val="-2"/>
        </w:rPr>
        <w:t>号）和《四川省人民政府关于实施支持农业转移人口市民化若干财政政策的通知》（川府发〔</w:t>
      </w:r>
      <w:r>
        <w:rPr>
          <w:spacing w:val="-2"/>
        </w:rPr>
        <w:t>2016</w:t>
      </w:r>
      <w:r>
        <w:rPr>
          <w:rFonts w:hint="eastAsia"/>
          <w:spacing w:val="-2"/>
        </w:rPr>
        <w:t>〕</w:t>
      </w:r>
      <w:r>
        <w:t>65</w:t>
      </w:r>
      <w:r>
        <w:rPr>
          <w:rFonts w:hint="eastAsia"/>
        </w:rPr>
        <w:t>号）和市政府支持农业转移人口市民化若干财政政策的相关要求，中央、省、市财政安排资金，建立农业转移人口市民化奖励机制。参照省级财政农业转移人口市民化奖励资金管理办法，</w:t>
      </w:r>
      <w:r>
        <w:rPr>
          <w:rFonts w:hint="eastAsia"/>
          <w:color w:val="000000"/>
          <w:shd w:val="clear" w:color="auto" w:fill="FFFFFF"/>
        </w:rPr>
        <w:t>现制定遂宁市财政农业转移人口市民化奖励资金管理办法。</w:t>
      </w:r>
    </w:p>
    <w:p>
      <w:pPr>
        <w:ind w:firstLineChars="200" w:firstLine="631"/>
        <w:rPr>
          <w:rFonts w:eastAsia="黑体"/>
        </w:rPr>
      </w:pPr>
      <w:r>
        <w:rPr>
          <w:rFonts w:eastAsia="黑体" w:hint="eastAsia"/>
        </w:rPr>
        <w:t>一、基本原则</w:t>
      </w:r>
    </w:p>
    <w:p>
      <w:pPr>
        <w:ind w:firstLineChars="200" w:firstLine="631"/>
      </w:pPr>
      <w:r>
        <w:rPr>
          <w:rFonts w:hint="eastAsia"/>
        </w:rPr>
        <w:t>实施农业转移人口市民化奖励机制，增强地方政府落实农业转移人口市民化政策的财政保障能力，逐步使农业转移人口与当地户籍人口享受同等基本公共服务，促进基本公共服务均等化。奖励资金按以下原则进行分配：</w:t>
      </w:r>
    </w:p>
    <w:p>
      <w:pPr>
        <w:ind w:firstLineChars="200" w:firstLine="631"/>
      </w:pPr>
      <w:r>
        <w:rPr>
          <w:rFonts w:eastAsia="楷体_GB2312" w:hint="eastAsia"/>
        </w:rPr>
        <w:t>（一）突出重点。</w:t>
      </w:r>
      <w:r>
        <w:rPr>
          <w:rFonts w:hint="eastAsia"/>
        </w:rPr>
        <w:t>以各地农业转移人口实际进城落户数为核心因素，加大对农业转移人口进城落户较多地区的支持。</w:t>
      </w:r>
    </w:p>
    <w:p>
      <w:pPr>
        <w:ind w:firstLineChars="200" w:firstLine="631"/>
      </w:pPr>
      <w:r>
        <w:rPr>
          <w:rFonts w:eastAsia="楷体_GB2312" w:hint="eastAsia"/>
        </w:rPr>
        <w:t>（二）促进均等。</w:t>
      </w:r>
      <w:r>
        <w:rPr>
          <w:rFonts w:hint="eastAsia"/>
        </w:rPr>
        <w:t>通过激励手段对财政困难地区给予倾斜，缩小地区间提供基本公共服务能力差距，推进地区间基本公共服务均等化和进城落户农业转移人口与当地户籍居民享受同等基本公共服务</w:t>
      </w:r>
      <w:r>
        <w:t>“</w:t>
      </w:r>
      <w:r>
        <w:rPr>
          <w:rFonts w:hint="eastAsia"/>
        </w:rPr>
        <w:t>两个均等化</w:t>
      </w:r>
      <w:r>
        <w:t>”</w:t>
      </w:r>
      <w:r>
        <w:rPr>
          <w:rFonts w:hint="eastAsia"/>
        </w:rPr>
        <w:t>。</w:t>
      </w:r>
    </w:p>
    <w:p>
      <w:pPr>
        <w:ind w:firstLineChars="200" w:firstLine="631"/>
      </w:pPr>
      <w:r>
        <w:rPr>
          <w:rFonts w:eastAsia="楷体_GB2312" w:hint="eastAsia"/>
        </w:rPr>
        <w:t>（三）体现差异。</w:t>
      </w:r>
      <w:r>
        <w:rPr>
          <w:rFonts w:hint="eastAsia"/>
        </w:rPr>
        <w:t>对跨省、跨市（州）落户和市（州）内落户实行不同的奖励标准，对吸纳跨省、跨市（州）流动农业转移人口较多地区倾斜支持。</w:t>
      </w:r>
    </w:p>
    <w:p>
      <w:pPr>
        <w:ind w:firstLineChars="200" w:firstLine="631"/>
        <w:rPr>
          <w:rFonts w:eastAsia="黑体"/>
        </w:rPr>
      </w:pPr>
      <w:r>
        <w:rPr>
          <w:rFonts w:eastAsia="黑体" w:hint="eastAsia"/>
        </w:rPr>
        <w:t>二、分配办法</w:t>
      </w:r>
    </w:p>
    <w:p>
      <w:pPr>
        <w:ind w:firstLineChars="200" w:firstLine="631"/>
      </w:pPr>
      <w:r>
        <w:rPr>
          <w:rFonts w:hint="eastAsia"/>
        </w:rPr>
        <w:t>参照省级办法，结合我市实际，市级财政奖励根据农业转移人口实际进城落户以及地方提供基本公共服务情况，并适当考虑农业转移人口流动、财政困难系数等因素进行测算分配。计算公式为：</w:t>
      </w:r>
    </w:p>
    <w:p>
      <w:pPr>
        <w:ind w:firstLineChars="200" w:firstLine="631"/>
      </w:pPr>
      <w:r>
        <w:rPr>
          <w:rFonts w:hint="eastAsia"/>
        </w:rPr>
        <w:t>某县（区）、园区奖励资金</w:t>
      </w:r>
      <w:r>
        <w:t>=</w:t>
      </w:r>
      <w:r>
        <w:rPr>
          <w:rFonts w:hint="eastAsia"/>
        </w:rPr>
        <w:t>市级奖励资金总额</w:t>
      </w:r>
      <w:r>
        <w:t>×</w:t>
      </w:r>
      <w:r>
        <w:rPr>
          <w:rFonts w:hint="eastAsia"/>
        </w:rPr>
        <w:t>奖励系数</w:t>
      </w:r>
    </w:p>
    <w:p>
      <w:pPr>
        <w:ind w:firstLineChars="200" w:firstLine="631"/>
      </w:pPr>
      <w:r>
        <w:rPr>
          <w:rFonts w:hint="eastAsia"/>
        </w:rPr>
        <w:t>某县（区）、园区奖励系数</w:t>
      </w:r>
      <w:r>
        <w:t>=</w:t>
      </w:r>
      <w:r>
        <w:rPr>
          <w:rFonts w:hint="eastAsia"/>
        </w:rPr>
        <w:t>该县（区）、园区农业转移人口实际进城落户人数</w:t>
      </w:r>
      <w:r>
        <w:t>×</w:t>
      </w:r>
      <w:r>
        <w:rPr>
          <w:rFonts w:hint="eastAsia"/>
        </w:rPr>
        <w:t>奖励标准</w:t>
      </w:r>
      <w:r>
        <w:t>×</w:t>
      </w:r>
      <w:r>
        <w:rPr>
          <w:rFonts w:hint="eastAsia"/>
        </w:rPr>
        <w:t>基本公共服务成本系数</w:t>
      </w:r>
      <w:r>
        <w:t>×</w:t>
      </w:r>
      <w:r>
        <w:rPr>
          <w:rFonts w:hint="eastAsia"/>
        </w:rPr>
        <w:t>财政困难系数</w:t>
      </w:r>
      <w:r>
        <w:t>÷</w:t>
      </w:r>
      <w:r>
        <w:rPr>
          <w:rFonts w:hint="eastAsia"/>
        </w:rPr>
        <w:t>（</w:t>
      </w:r>
      <w:r>
        <w:t>∑</w:t>
      </w:r>
      <w:r>
        <w:rPr>
          <w:rFonts w:hint="eastAsia"/>
        </w:rPr>
        <w:t>县（区）、园区农业转移人口实际进城落户人数</w:t>
      </w:r>
      <w:r>
        <w:t>×</w:t>
      </w:r>
      <w:r>
        <w:rPr>
          <w:rFonts w:hint="eastAsia"/>
        </w:rPr>
        <w:t>奖励标准</w:t>
      </w:r>
      <w:r>
        <w:t>×</w:t>
      </w:r>
      <w:r>
        <w:rPr>
          <w:rFonts w:hint="eastAsia"/>
        </w:rPr>
        <w:t>基本公共服务成本系数</w:t>
      </w:r>
      <w:r>
        <w:t>×</w:t>
      </w:r>
      <w:r>
        <w:rPr>
          <w:rFonts w:hint="eastAsia"/>
        </w:rPr>
        <w:t>财政困难系数）</w:t>
      </w:r>
    </w:p>
    <w:p>
      <w:pPr>
        <w:ind w:firstLineChars="200" w:firstLine="631"/>
        <w:rPr>
          <w:rFonts w:eastAsia="楷体_GB2312"/>
        </w:rPr>
      </w:pPr>
      <w:r>
        <w:rPr>
          <w:rFonts w:eastAsia="楷体_GB2312" w:hint="eastAsia"/>
        </w:rPr>
        <w:t>（一）市级奖励资金依据上级奖励资金总额的一定比例确定。</w:t>
      </w:r>
    </w:p>
    <w:p>
      <w:pPr>
        <w:ind w:firstLineChars="200" w:firstLine="631"/>
      </w:pPr>
      <w:r>
        <w:rPr>
          <w:rFonts w:eastAsia="楷体_GB2312" w:hint="eastAsia"/>
        </w:rPr>
        <w:t>（二）农业转移人口实际进城落户人数。</w:t>
      </w:r>
      <w:r>
        <w:rPr>
          <w:rFonts w:hint="eastAsia"/>
        </w:rPr>
        <w:t>主要以公安部门审核汇总的数据，区分跨省、省内跨市（州）、市（州）内落户人数。</w:t>
      </w:r>
    </w:p>
    <w:p>
      <w:pPr>
        <w:ind w:firstLineChars="200" w:firstLine="631"/>
      </w:pPr>
      <w:r>
        <w:rPr>
          <w:rFonts w:eastAsia="楷体_GB2312" w:hint="eastAsia"/>
        </w:rPr>
        <w:t>（三）奖励标准。</w:t>
      </w:r>
      <w:r>
        <w:rPr>
          <w:rFonts w:hint="eastAsia"/>
        </w:rPr>
        <w:t>在根据市级奖励资金总额和农业转移人口实际进城落户人数计算定额标准的基础上，对跨省、省内跨市（州）、市（州）内落户人数，分别按不同系数计算奖励标准，体现各地在吸纳不同流入地农业转移人口的差异。</w:t>
      </w:r>
    </w:p>
    <w:p>
      <w:pPr>
        <w:ind w:firstLineChars="200" w:firstLine="631"/>
      </w:pPr>
      <w:r>
        <w:rPr>
          <w:rFonts w:eastAsia="楷体_GB2312" w:hint="eastAsia"/>
        </w:rPr>
        <w:t>（四）基本公共服务成本系数。</w:t>
      </w:r>
      <w:r>
        <w:rPr>
          <w:rFonts w:hint="eastAsia"/>
        </w:rPr>
        <w:t>主要参照各地人均财政支出水平，人均财政支出水平越高地区，奖励越多，加大对公共服务成本较高落户地区的支持。</w:t>
      </w:r>
    </w:p>
    <w:p>
      <w:pPr>
        <w:ind w:firstLineChars="200" w:firstLine="631"/>
      </w:pPr>
      <w:r>
        <w:rPr>
          <w:rFonts w:eastAsia="楷体_GB2312" w:hint="eastAsia"/>
        </w:rPr>
        <w:t>（五）财政困难系数。</w:t>
      </w:r>
      <w:r>
        <w:rPr>
          <w:rFonts w:hint="eastAsia"/>
        </w:rPr>
        <w:t>采用各地财政困难程度系数，对财政困难地区加大奖励力度，有利于推进公共服务均等化。</w:t>
      </w:r>
    </w:p>
    <w:p>
      <w:pPr>
        <w:ind w:firstLineChars="200" w:firstLine="631"/>
        <w:rPr>
          <w:rFonts w:eastAsia="黑体"/>
        </w:rPr>
      </w:pPr>
      <w:r>
        <w:rPr>
          <w:rFonts w:eastAsia="黑体" w:hint="eastAsia"/>
        </w:rPr>
        <w:t>三、资金使用管理</w:t>
      </w:r>
    </w:p>
    <w:p>
      <w:pPr>
        <w:ind w:firstLineChars="200" w:firstLine="631"/>
      </w:pPr>
      <w:r>
        <w:rPr>
          <w:rFonts w:hint="eastAsia"/>
        </w:rPr>
        <w:t>县（市、区）财政部门要统筹上级奖励资金和自身财力，安排用于农业转移人口义务教育、劳动就业、基本养老、基本医疗卫生等基本公共服务支出、增强社区能力以及城市基础设施运行维护等方面。各级财政部门要加强资金监管，提高资金使用效益，确保农业转移人口市民化支持政策落实到位。</w:t>
      </w:r>
    </w:p>
    <w:p>
      <w:pPr>
        <w:ind w:firstLineChars="200" w:firstLine="631"/>
      </w:pPr>
      <w:r>
        <w:rPr>
          <w:rFonts w:hint="eastAsia"/>
        </w:rPr>
        <w:t>本办法由市财政局负责解释，自</w:t>
      </w:r>
      <w:r>
        <w:t>2017</w:t>
      </w:r>
      <w:r>
        <w:rPr>
          <w:rFonts w:hint="eastAsia"/>
        </w:rPr>
        <w:t>年</w:t>
      </w:r>
      <w:r>
        <w:t>10</w:t>
      </w:r>
      <w:r>
        <w:rPr>
          <w:rFonts w:hint="eastAsia"/>
        </w:rPr>
        <w:t>月</w:t>
      </w:r>
      <w:r>
        <w:t>8</w:t>
      </w:r>
      <w:r>
        <w:rPr>
          <w:rFonts w:hint="eastAsia"/>
        </w:rPr>
        <w:t>日起施行，有效期</w:t>
      </w:r>
      <w:r>
        <w:t>5</w:t>
      </w:r>
      <w:r>
        <w:rPr>
          <w:rFonts w:hint="eastAsia"/>
        </w:rPr>
        <w:t>年。</w:t>
      </w:r>
    </w:p>
    <w:p>
      <w:pPr>
        <w:ind w:firstLineChars="200" w:firstLine="631"/>
      </w:pPr>
      <w:r>
        <w:br w:type="page"/>
      </w: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ind w:firstLineChars="200" w:firstLine="631"/>
      </w:pPr>
    </w:p>
    <w:p>
      <w:pPr>
        <w:spacing w:line="800" w:lineRule="exact"/>
        <w:ind w:firstLineChars="200" w:firstLine="631"/>
      </w:pPr>
    </w:p>
    <w:p>
      <w:pPr>
        <w:ind w:leftChars="100" w:left="315" w:rightChars="100" w:right="315"/>
        <w:jc w:val="center"/>
      </w:pPr>
      <w:r>
        <w:rPr>
          <w:rFonts w:hint="eastAsia"/>
          <w:sz w:val="28"/>
          <w:szCs w:val="28"/>
          <w:lang w:val="en-US" w:eastAsia="zh-CN"/>
        </w:rPr>
        <mc:AlternateContent>
          <mc:Choice Requires="wps">
            <w:drawing>
              <wp:anchor distT="0" distB="0" distL="114300" distR="114300" simplePos="0" relativeHeight="14" behindDoc="0" locked="0" layoutInCell="1" hidden="0" allowOverlap="1">
                <wp:simplePos x="0" y="0"/>
                <wp:positionH relativeFrom="column">
                  <wp:posOffset>0</wp:posOffset>
                </wp:positionH>
                <wp:positionV relativeFrom="paragraph">
                  <wp:posOffset>0</wp:posOffset>
                </wp:positionV>
                <wp:extent cx="5618479" cy="0"/>
                <wp:effectExtent l="0" t="0" r="0" b="0"/>
                <wp:wrapNone/>
                <wp:docPr id="4" name="直线 4"/>
                <wp:cNvGraphicFramePr>
                  <a:graphicFrameLocks noChangeAspect="0"/>
                </wp:cNvGraphicFramePr>
                <a:graphic>
                  <a:graphicData uri="http://schemas.microsoft.com/office/word/2010/wordprocessingShape">
                    <wps:wsp>
                      <wps:cNvSpPr/>
                      <wps:spPr>
                        <a:xfrm rot="0">
                          <a:off x="0" y="0"/>
                          <a:ext cx="5618479" cy="0"/>
                        </a:xfrm>
                        <a:prstGeom prst="line"/>
                        <a:noFill/>
                        <a:ln w="9525" cmpd="sng">
                          <a:solidFill>
                            <a:srgbClr val="000000"/>
                          </a:solidFill>
                          <a:prstDash val="solid"/>
                          <a:miter/>
                        </a:ln>
                      </wps:spPr>
                      <wps:bodyPr vert="horz" wrap="square" lIns="91440" tIns="45720" rIns="91440" bIns="45720" anchor="t" anchorCtr="0" upright="1">
                        <a:noAutofit/>
                      </wps:bodyPr>
                    </wps:wsp>
                  </a:graphicData>
                </a:graphic>
              </wp:anchor>
            </w:drawing>
          </mc:Choice>
          <mc:Fallback>
            <w:pict>
              <v:line type="#_x0000_t20" id="直线 5" o:spid="_x0000_s5" from="0.0pt,0.0pt" to="442.4pt,0.0pt" filled="f" stroked="t" style="position:absolute;&#13;&#10;z-index:14;&#13;&#10;mso-position-horizontal:absolute;&#13;&#10;mso-position-vertical:absolute;">
                <v:stroke color="000000"/>
              </v:line>
            </w:pict>
          </mc:Fallback>
        </mc:AlternateContent>
      </w:r>
      <w:r>
        <w:rPr>
          <w:rFonts w:hint="eastAsia"/>
          <w:sz w:val="28"/>
          <w:szCs w:val="28"/>
          <w:lang w:val="en-US" w:eastAsia="zh-CN"/>
        </w:rPr>
        <mc:AlternateContent>
          <mc:Choice Requires="wps">
            <w:drawing>
              <wp:anchor distT="0" distB="0" distL="114300" distR="114300" simplePos="0" relativeHeight="13" behindDoc="0" locked="0" layoutInCell="1" hidden="0" allowOverlap="1">
                <wp:simplePos x="0" y="0"/>
                <wp:positionH relativeFrom="column">
                  <wp:posOffset>0</wp:posOffset>
                </wp:positionH>
                <wp:positionV relativeFrom="paragraph">
                  <wp:posOffset>367665</wp:posOffset>
                </wp:positionV>
                <wp:extent cx="5618479" cy="0"/>
                <wp:effectExtent l="0" t="0" r="0" b="0"/>
                <wp:wrapNone/>
                <wp:docPr id="6" name="直线 6"/>
                <wp:cNvGraphicFramePr>
                  <a:graphicFrameLocks noChangeAspect="0"/>
                </wp:cNvGraphicFramePr>
                <a:graphic>
                  <a:graphicData uri="http://schemas.microsoft.com/office/word/2010/wordprocessingShape">
                    <wps:wsp>
                      <wps:cNvSpPr/>
                      <wps:spPr>
                        <a:xfrm rot="0">
                          <a:off x="0" y="0"/>
                          <a:ext cx="5618479" cy="0"/>
                        </a:xfrm>
                        <a:prstGeom prst="line"/>
                        <a:noFill/>
                        <a:ln w="9525" cmpd="sng">
                          <a:solidFill>
                            <a:srgbClr val="000000"/>
                          </a:solidFill>
                          <a:prstDash val="solid"/>
                          <a:miter/>
                        </a:ln>
                      </wps:spPr>
                      <wps:bodyPr vert="horz" wrap="square" lIns="91440" tIns="45720" rIns="91440" bIns="45720" anchor="t" anchorCtr="0" upright="1">
                        <a:noAutofit/>
                      </wps:bodyPr>
                    </wps:wsp>
                  </a:graphicData>
                </a:graphic>
              </wp:anchor>
            </w:drawing>
          </mc:Choice>
          <mc:Fallback>
            <w:pict>
              <v:line type="#_x0000_t20" id="直线 7" o:spid="_x0000_s7" from="0.0pt,28.95pt" to="442.4pt,28.95pt" filled="f" stroked="t" style="position:absolute;&#13;&#10;z-index:13;&#13;&#10;mso-position-horizontal:absolute;&#13;&#10;mso-position-vertical:absolute;">
                <v:stroke color="000000"/>
              </v:line>
            </w:pict>
          </mc:Fallback>
        </mc:AlternateContent>
      </w:r>
      <w:r>
        <w:rPr>
          <w:rFonts w:hint="eastAsia"/>
          <w:sz w:val="28"/>
          <w:szCs w:val="28"/>
        </w:rPr>
        <w:t>遂宁市财政局办公室                       2017年9月</w:t>
      </w:r>
      <w:r>
        <w:rPr>
          <w:rFonts w:hint="eastAsia"/>
          <w:sz w:val="28"/>
          <w:szCs w:val="28"/>
        </w:rPr>
        <w:t>8</w:t>
      </w:r>
      <w:r>
        <w:rPr>
          <w:rFonts w:hint="eastAsia"/>
          <w:sz w:val="28"/>
          <w:szCs w:val="28"/>
        </w:rPr>
        <w:t>日印发</w:t>
      </w:r>
    </w:p>
    <w:sectPr>
      <w:headerReference w:type="default" r:id="rId2"/>
      <w:footerReference w:type="default" r:id="rId3"/>
      <w:footerReference w:type="even" r:id="rId4"/>
      <w:pgSz w:w="11907" w:h="16840"/>
      <w:pgMar w:top="2098" w:right="1474" w:bottom="1985" w:left="1588" w:header="851" w:footer="1701" w:gutter="0"/>
      <w:pgNumType w:fmt="numberInDash"/>
      <w:docGrid w:type="linesAndChars" w:linePitch="579" w:charSpace="-849"/>
    </w:sectPr>
  </w:body>
</w:document>
</file>

<file path=word/fontTable.xml><?xml version="1.0" encoding="utf-8"?>
<w:fonts xmlns:w="http://schemas.openxmlformats.org/wordprocessingml/2006/main" xmlns:r="http://schemas.openxmlformats.org/officeDocument/2006/relationships">
  <w:font w:name="宋体">
    <w:panose1 w:val="02010600030101010101"/>
    <w:charset w:val="86"/>
    <w:family w:val="auto"/>
    <w:pitch w:val="variable"/>
    <w:sig w:usb0="00000003" w:usb1="080E0000" w:usb2="00000000" w:usb3="00000000" w:csb0="00040001" w:csb1="00000000"/>
  </w:font>
  <w:font w:name="方正小标宋简体">
    <w:panose1 w:val="02010601030101010101"/>
    <w:charset w:val="86"/>
    <w:family w:val="auto"/>
    <w:pitch w:val="variable"/>
    <w:sig w:usb0="00000001" w:usb1="080E0000" w:usb2="00000000" w:usb3="00000000" w:csb0="00040000" w:csb1="00000000"/>
  </w:font>
  <w:font w:name="黑体">
    <w:panose1 w:val="02010600030101010101"/>
    <w:charset w:val="86"/>
    <w:family w:val="auto"/>
    <w:pitch w:val="variable"/>
    <w:sig w:usb0="00000001" w:usb1="080E0000" w:usb2="00000000" w:usb3="00000000" w:csb0="00040000" w:csb1="00000000"/>
  </w:font>
  <w:font w:name="楷体_GB2312">
    <w:panose1 w:val="02010609030101010101"/>
    <w:charset w:val="86"/>
    <w:family w:val="auto"/>
    <w:pitch w:val="variable"/>
    <w:sig w:usb0="00000001" w:usb1="080E0000" w:usb2="00000000" w:usb3="00000000" w:csb0="00040000" w:csb1="00000000"/>
  </w:font>
  <w:font w:name="Times New Roman">
    <w:panose1 w:val="02020603050405020304"/>
    <w:charset w:val="00"/>
    <w:family w:val="auto"/>
    <w:pitch w:val="variable"/>
    <w:sig w:usb0="00000A87" w:usb1="00000000" w:usb2="00000000" w:usb3="00000000" w:csb0="400001BF" w:csb1="DFF70000"/>
  </w:font>
  <w:font w:name="仿宋_GB2312">
    <w:panose1 w:val="02010609030101010101"/>
    <w:charset w:val="86"/>
    <w:family w:val="auto"/>
    <w:pitch w:val="variable"/>
    <w:sig w:usb0="00000001" w:usb1="080E0000" w:usb2="00000000" w:usb3="00000000" w:csb0="00040000"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p>
    <w:pPr>
      <w:pStyle w:val="17"/>
      <w:framePr w:w="0" w:hRule="auto" w:wrap="around" w:vAnchor="text" w:hAnchor="margin" w:xAlign="outside" w:y="1" w:anchorLock="0"/>
      <w:tabs>
        <w:tab w:val="center" w:pos="4153"/>
        <w:tab w:val="right" w:pos="8306"/>
      </w:tabs>
      <w:ind w:leftChars="100" w:left="320" w:rightChars="100" w:right="320"/>
      <w:rPr>
        <w:rStyle w:val="19"/>
        <w:rFonts w:ascii="宋体" w:eastAsia="宋体"/>
        <w:sz w:val="28"/>
        <w:szCs w:val="28"/>
      </w:rPr>
    </w:pPr>
    <w:r>
      <w:rPr>
        <w:rStyle w:val="19"/>
        <w:rFonts w:ascii="宋体" w:eastAsia="宋体"/>
        <w:sz w:val="28"/>
        <w:szCs w:val="28"/>
      </w:rPr>
      <w:fldChar w:fldCharType="begin"/>
    </w:r>
    <w:r>
      <w:rPr>
        <w:rStyle w:val="19"/>
        <w:rFonts w:ascii="宋体" w:eastAsia="宋体"/>
        <w:sz w:val="28"/>
        <w:szCs w:val="28"/>
      </w:rPr>
      <w:instrText xml:space="preserve">PAGE  </w:instrText>
    </w:r>
    <w:r>
      <w:rPr>
        <w:rStyle w:val="19"/>
        <w:rFonts w:ascii="宋体" w:eastAsia="宋体"/>
        <w:sz w:val="28"/>
        <w:szCs w:val="28"/>
      </w:rPr>
      <w:fldChar w:fldCharType="separate"/>
    </w:r>
    <w:r>
      <w:rPr>
        <w:rStyle w:val="19"/>
        <w:rFonts w:ascii="宋体" w:eastAsia="宋体"/>
        <w:sz w:val="28"/>
        <w:szCs w:val="28"/>
      </w:rPr>
      <w:t>- 3 -</w:t>
    </w:r>
    <w:r>
      <w:rPr>
        <w:rStyle w:val="19"/>
        <w:rFonts w:ascii="宋体" w:eastAsia="宋体"/>
        <w:sz w:val="28"/>
        <w:szCs w:val="28"/>
      </w:rPr>
      <w:fldChar w:fldCharType="end"/>
    </w:r>
  </w:p>
  <w:p>
    <w:pPr>
      <w:pStyle w:val="17"/>
      <w:tabs>
        <w:tab w:val="center" w:pos="4153"/>
        <w:tab w:val="right" w:pos="8306"/>
      </w:tabs>
      <w:ind w:leftChars="100" w:left="320" w:rightChars="100" w:right="320" w:firstLine="360"/>
      <w:rPr>
        <w:rFonts w:ascii="宋体" w:eastAsia="宋体"/>
        <w:sz w:val="28"/>
        <w:szCs w:val="28"/>
      </w:rPr>
    </w:pPr>
  </w:p>
  <w:p>
    <w:pPr>
      <w:pStyle w:val="17"/>
      <w:tabs>
        <w:tab w:val="center" w:pos="4153"/>
        <w:tab w:val="right" w:pos="8306"/>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p>
    <w:pPr>
      <w:pStyle w:val="17"/>
      <w:framePr w:w="0" w:hRule="auto" w:wrap="around" w:vAnchor="text" w:hAnchor="margin" w:xAlign="outside" w:y="1" w:anchorLock="0"/>
      <w:tabs>
        <w:tab w:val="center" w:pos="4153"/>
        <w:tab w:val="right" w:pos="8306"/>
      </w:tabs>
      <w:ind w:leftChars="100" w:left="320" w:rightChars="100" w:right="320"/>
      <w:rPr>
        <w:rStyle w:val="19"/>
        <w:rFonts w:ascii="宋体" w:eastAsia="宋体"/>
        <w:sz w:val="28"/>
        <w:szCs w:val="28"/>
      </w:rPr>
    </w:pPr>
    <w:r>
      <w:rPr>
        <w:rStyle w:val="19"/>
        <w:rFonts w:ascii="宋体" w:eastAsia="宋体"/>
        <w:sz w:val="28"/>
        <w:szCs w:val="28"/>
      </w:rPr>
      <w:fldChar w:fldCharType="begin"/>
    </w:r>
    <w:r>
      <w:rPr>
        <w:rStyle w:val="19"/>
        <w:rFonts w:ascii="宋体" w:eastAsia="宋体"/>
        <w:sz w:val="28"/>
        <w:szCs w:val="28"/>
      </w:rPr>
      <w:instrText xml:space="preserve">PAGE  </w:instrText>
    </w:r>
    <w:r>
      <w:rPr>
        <w:rStyle w:val="19"/>
        <w:rFonts w:ascii="宋体" w:eastAsia="宋体"/>
        <w:sz w:val="28"/>
        <w:szCs w:val="28"/>
      </w:rPr>
      <w:fldChar w:fldCharType="separate"/>
    </w:r>
    <w:r>
      <w:rPr>
        <w:rStyle w:val="19"/>
        <w:rFonts w:ascii="宋体" w:eastAsia="宋体"/>
        <w:sz w:val="28"/>
        <w:szCs w:val="28"/>
      </w:rPr>
      <w:t>- 4 -</w:t>
    </w:r>
    <w:r>
      <w:rPr>
        <w:rStyle w:val="19"/>
        <w:rFonts w:ascii="宋体" w:eastAsia="宋体"/>
        <w:sz w:val="28"/>
        <w:szCs w:val="28"/>
      </w:rPr>
      <w:fldChar w:fldCharType="end"/>
    </w:r>
  </w:p>
  <w:p>
    <w:pPr>
      <w:pStyle w:val="17"/>
      <w:tabs>
        <w:tab w:val="center" w:pos="4153"/>
        <w:tab w:val="right" w:pos="8306"/>
      </w:tabs>
      <w:ind w:leftChars="100" w:left="320" w:rightChars="100" w:right="320" w:firstLine="360"/>
      <w:jc w:val="right"/>
    </w:pPr>
  </w:p>
  <w:p>
    <w:pPr>
      <w:pStyle w:val="17"/>
      <w:tabs>
        <w:tab w:val="center" w:pos="4153"/>
        <w:tab w:val="right" w:pos="8306"/>
      </w:tabs>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w:p>
    <w:pPr>
      <w:pStyle w:val="18"/>
      <w:pBdr>
        <w:bottom w:val="none" w:sz="0" w:space="0" w:color="auto"/>
      </w:pBdr>
      <w:tabs>
        <w:tab w:val="center" w:pos="4153"/>
        <w:tab w:val="right" w:pos="8306"/>
      </w:tabs>
    </w:pPr>
  </w:p>
</w:hd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90"/>
  <w:bordersDoNotSurroundHeader/>
  <w:bordersDoNotSurroundFooter/>
  <w:defaultTabStop w:val="420"/>
  <w:evenAndOddHeaders/>
  <w:mirrorMargins/>
  <w:drawingGridHorizontalSpacing w:val="158"/>
  <w:drawingGridVerticalSpacing w:val="579"/>
  <w:displayHorizontalDrawingGridEvery w:val="0"/>
  <w:displayVerticalDrawingGridEvery w:val="1"/>
  <w:characterSpacingControl w:val="compressPunctuation"/>
  <w:noLineBreaksAfter w:lang="zh-CN" w:val="$([{£¥·‘“〈《「『【〔〖〝﹙﹛﹝＄（．［｛￡￥"/>
  <w:noLineBreaksBefore w:lang="zh-CN" w:val="!%),.:;&gt;?]}¢¨°·ˇˉ―‖’”…‰′″›℃∶、。〃〉》」』】〕〗〞︶︺︾﹀﹄﹚﹜﹞！＂％＇），．：；？］｀｜｝～￠"/>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仿宋_GB2312" w:cs="Times New Roman" w:hAnsi="Times New Roman"/>
      <w:kern w:val="2"/>
      <w:sz w:val="32"/>
      <w:szCs w:val="22"/>
      <w:lang w:val="en-US" w:eastAsia="zh-CN" w:bidi="ar-SA"/>
    </w:rPr>
  </w:style>
  <w:style w:type="character" w:default="1" w:styleId="10">
    <w:name w:val="Default Paragraph Font"/>
  </w:style>
  <w:style w:type="paragraph" w:styleId="15">
    <w:name w:val="Date"/>
    <w:basedOn w:val="0"/>
    <w:next w:val="0"/>
    <w:pPr>
      <w:ind w:leftChars="2500" w:left="2500"/>
    </w:pPr>
  </w:style>
  <w:style w:type="paragraph" w:styleId="16">
    <w:name w:val="Balloon Text"/>
    <w:basedOn w:val="0"/>
    <w:rPr>
      <w:sz w:val="18"/>
      <w:szCs w:val="18"/>
    </w:rPr>
  </w:style>
  <w:style w:type="paragraph" w:styleId="17">
    <w:name w:val="footer"/>
    <w:basedOn w:val="0"/>
    <w:pPr>
      <w:tabs>
        <w:tab w:val="center" w:pos="4153"/>
        <w:tab w:val="right" w:pos="8306"/>
      </w:tabs>
      <w:snapToGrid w:val="0"/>
      <w:jc w:val="left"/>
    </w:pPr>
    <w:rPr>
      <w:sz w:val="18"/>
      <w:szCs w:val="18"/>
    </w:rPr>
  </w:style>
  <w:style w:type="paragraph" w:styleId="18">
    <w:name w:val="header"/>
    <w:basedOn w:val="0"/>
    <w:pPr>
      <w:pBdr>
        <w:bottom w:val="single" w:sz="6" w:space="1" w:color="auto"/>
      </w:pBdr>
      <w:tabs>
        <w:tab w:val="center" w:pos="4153"/>
        <w:tab w:val="right" w:pos="8306"/>
      </w:tabs>
      <w:snapToGrid w:val="0"/>
      <w:jc w:val="center"/>
    </w:pPr>
    <w:rPr>
      <w:sz w:val="18"/>
      <w:szCs w:val="18"/>
    </w:rPr>
  </w:style>
  <w:style w:type="character" w:styleId="19">
    <w:name w:val="page number"/>
    <w:basedOn w:val="10"/>
    <w:rPr>
      <w:rFonts w:cs="Times New Roman"/>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styles" Target="styles.xml"/><Relationship Id="rId6" Type="http://schemas.openxmlformats.org/officeDocument/2006/relationships/fontTable" Target="fontTable.xml"/></Relationships>
</file>

<file path=docProps/app.xml><?xml version="1.0" encoding="utf-8"?>
<Properties xmlns="http://schemas.openxmlformats.org/officeDocument/2006/extended-properties">
  <Template>Normal.eit</Template>
  <TotalTime>18</TotalTime>
  <Application>Yozo_Office</Application>
  <Pages>6</Pages>
  <Words>1416</Words>
  <Characters>1442</Characters>
  <Lines>102</Lines>
  <Paragraphs>26</Paragraphs>
  <CharactersWithSpaces>1465</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cp:lastModifiedBy>er</cp:lastModifiedBy>
  <cp:revision>15</cp:revision>
  <cp:lastPrinted>2017-09-12T09:28:08Z</cp:lastPrinted>
  <dcterms:created xsi:type="dcterms:W3CDTF">2017-07-11T01:28:00Z</dcterms:creat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2052-10.1.0.6205</vt:lpwstr>
  </property>
</Properties>
</file>